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2A4B" w14:textId="79432B8A" w:rsidR="004029F4" w:rsidRPr="00E34DE7" w:rsidRDefault="008645F3">
      <w:pPr>
        <w:rPr>
          <w:b/>
          <w:bCs/>
          <w:sz w:val="26"/>
          <w:szCs w:val="26"/>
          <w:u w:val="single"/>
        </w:rPr>
      </w:pPr>
      <w:r w:rsidRPr="00E34DE7">
        <w:rPr>
          <w:b/>
          <w:bCs/>
          <w:sz w:val="26"/>
          <w:szCs w:val="26"/>
          <w:u w:val="single"/>
        </w:rPr>
        <w:t>NBIF-Mitacs Joint Accelerate Program</w:t>
      </w:r>
      <w:r w:rsidR="001914FC" w:rsidRPr="00E34DE7">
        <w:rPr>
          <w:b/>
          <w:bCs/>
          <w:sz w:val="26"/>
          <w:szCs w:val="26"/>
          <w:u w:val="single"/>
        </w:rPr>
        <w:t xml:space="preserve"> –</w:t>
      </w:r>
      <w:r w:rsidR="00DF7DF4">
        <w:rPr>
          <w:b/>
          <w:bCs/>
          <w:sz w:val="26"/>
          <w:szCs w:val="26"/>
          <w:u w:val="single"/>
        </w:rPr>
        <w:t xml:space="preserve"> Lab-to-Market </w:t>
      </w:r>
      <w:r w:rsidR="00DF7DF4" w:rsidRPr="00E34DE7">
        <w:rPr>
          <w:b/>
          <w:bCs/>
          <w:sz w:val="26"/>
          <w:szCs w:val="26"/>
          <w:u w:val="single"/>
        </w:rPr>
        <w:t xml:space="preserve">funding </w:t>
      </w:r>
      <w:r w:rsidR="000D0A42">
        <w:rPr>
          <w:b/>
          <w:bCs/>
          <w:sz w:val="26"/>
          <w:szCs w:val="26"/>
          <w:u w:val="single"/>
        </w:rPr>
        <w:t>request</w:t>
      </w:r>
    </w:p>
    <w:p w14:paraId="5D751EC6" w14:textId="0F18E16E" w:rsidR="008645F3" w:rsidRPr="001914FC" w:rsidRDefault="00DF7DF4">
      <w:r w:rsidRPr="00E34DE7">
        <w:rPr>
          <w:b/>
          <w:bCs/>
        </w:rPr>
        <w:t>Description</w:t>
      </w:r>
      <w:r w:rsidRPr="001914FC">
        <w:t>:</w:t>
      </w:r>
    </w:p>
    <w:p w14:paraId="659A09CD" w14:textId="41E37AD1" w:rsidR="008645F3" w:rsidRDefault="001914FC" w:rsidP="008645F3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 xml:space="preserve">This form is an optional Addendum to the Mitacs Accelerate application, for researchers applying for the joint NBIF-Mitacs opportunity. For more details, </w:t>
      </w:r>
      <w:r w:rsidR="0061213B">
        <w:rPr>
          <w:rFonts w:eastAsia="Calibri"/>
          <w:bCs/>
          <w:color w:val="000000"/>
          <w:spacing w:val="1"/>
        </w:rPr>
        <w:t>refer to the link below.</w:t>
      </w:r>
    </w:p>
    <w:p w14:paraId="038A86AF" w14:textId="4F98AB10" w:rsidR="00E34DE7" w:rsidRDefault="001914FC" w:rsidP="008645F3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You should fill out this form if</w:t>
      </w:r>
      <w:r w:rsidR="00E34DE7">
        <w:rPr>
          <w:rFonts w:eastAsia="Calibri"/>
          <w:bCs/>
          <w:color w:val="000000"/>
          <w:spacing w:val="1"/>
        </w:rPr>
        <w:t xml:space="preserve"> the following applies to you</w:t>
      </w:r>
      <w:r w:rsidR="00EC78E2">
        <w:rPr>
          <w:rFonts w:eastAsia="Calibri"/>
          <w:bCs/>
          <w:color w:val="000000"/>
          <w:spacing w:val="1"/>
        </w:rPr>
        <w:t>:</w:t>
      </w:r>
    </w:p>
    <w:p w14:paraId="307C2BF1" w14:textId="12B2E552" w:rsidR="00E34DE7" w:rsidRDefault="001914FC" w:rsidP="00E34DE7">
      <w:pPr>
        <w:pStyle w:val="ListParagraph"/>
        <w:numPr>
          <w:ilvl w:val="0"/>
          <w:numId w:val="2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 w:rsidRPr="00E34DE7">
        <w:rPr>
          <w:rFonts w:eastAsia="Calibri"/>
          <w:bCs/>
          <w:color w:val="000000"/>
          <w:spacing w:val="1"/>
        </w:rPr>
        <w:t>you are a researcher at a New Brunswick research institution</w:t>
      </w:r>
      <w:r w:rsidR="006A08F0">
        <w:rPr>
          <w:rFonts w:eastAsia="Calibri"/>
          <w:bCs/>
          <w:color w:val="000000"/>
          <w:spacing w:val="1"/>
        </w:rPr>
        <w:t xml:space="preserve">, and meet NBIF’s eligibility requirements (see our </w:t>
      </w:r>
      <w:hyperlink r:id="rId7" w:history="1">
        <w:r w:rsidR="006A08F0" w:rsidRPr="00EC78E2">
          <w:rPr>
            <w:rStyle w:val="Hyperlink"/>
            <w:rFonts w:eastAsia="Calibri"/>
            <w:bCs/>
            <w:spacing w:val="1"/>
          </w:rPr>
          <w:t>Research Award Admin guidelines</w:t>
        </w:r>
      </w:hyperlink>
      <w:r w:rsidR="006A08F0">
        <w:rPr>
          <w:rFonts w:eastAsia="Calibri"/>
          <w:bCs/>
          <w:color w:val="000000"/>
          <w:spacing w:val="1"/>
        </w:rPr>
        <w:t xml:space="preserve"> for more info)</w:t>
      </w:r>
    </w:p>
    <w:p w14:paraId="1E0A3F1D" w14:textId="4BBC71DA" w:rsidR="00E34DE7" w:rsidRDefault="00E34DE7" w:rsidP="00E34DE7">
      <w:pPr>
        <w:pStyle w:val="ListParagraph"/>
        <w:numPr>
          <w:ilvl w:val="0"/>
          <w:numId w:val="2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 xml:space="preserve">you are submitting a Mitacs Accelerate application for the joint </w:t>
      </w:r>
      <w:hyperlink r:id="rId8" w:history="1">
        <w:r w:rsidRPr="00931F77">
          <w:rPr>
            <w:rStyle w:val="Hyperlink"/>
            <w:rFonts w:eastAsia="Calibri"/>
            <w:bCs/>
            <w:spacing w:val="1"/>
          </w:rPr>
          <w:t xml:space="preserve">NBIF-Mitacs </w:t>
        </w:r>
        <w:r w:rsidR="00EC78E2" w:rsidRPr="00931F77">
          <w:rPr>
            <w:rStyle w:val="Hyperlink"/>
            <w:rFonts w:eastAsia="Calibri"/>
            <w:bCs/>
            <w:spacing w:val="1"/>
          </w:rPr>
          <w:t>Program</w:t>
        </w:r>
      </w:hyperlink>
      <w:r w:rsidR="00DF7DF4">
        <w:rPr>
          <w:rFonts w:eastAsia="Calibri"/>
          <w:bCs/>
          <w:color w:val="000000"/>
          <w:spacing w:val="1"/>
        </w:rPr>
        <w:t xml:space="preserve"> </w:t>
      </w:r>
    </w:p>
    <w:p w14:paraId="1FA3771E" w14:textId="4DD067CF" w:rsidR="00E34DE7" w:rsidRDefault="001914FC" w:rsidP="00E34DE7">
      <w:pPr>
        <w:pStyle w:val="ListParagraph"/>
        <w:numPr>
          <w:ilvl w:val="0"/>
          <w:numId w:val="2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 w:rsidRPr="00E34DE7">
        <w:rPr>
          <w:rFonts w:eastAsia="Calibri"/>
          <w:bCs/>
          <w:color w:val="000000"/>
          <w:spacing w:val="1"/>
        </w:rPr>
        <w:t>you would like to request additional fund</w:t>
      </w:r>
      <w:r w:rsidR="00E34DE7">
        <w:rPr>
          <w:rFonts w:eastAsia="Calibri"/>
          <w:bCs/>
          <w:color w:val="000000"/>
          <w:spacing w:val="1"/>
        </w:rPr>
        <w:t xml:space="preserve">ing (no more than $50,000) </w:t>
      </w:r>
      <w:r w:rsidRPr="00E34DE7">
        <w:rPr>
          <w:rFonts w:eastAsia="Calibri"/>
          <w:bCs/>
          <w:color w:val="000000"/>
          <w:spacing w:val="1"/>
        </w:rPr>
        <w:t>to enhance your Mitacs Accelerate project.</w:t>
      </w:r>
    </w:p>
    <w:p w14:paraId="30D2DAE1" w14:textId="55951481" w:rsidR="001914FC" w:rsidRPr="00E34DE7" w:rsidRDefault="00E34DE7" w:rsidP="00E34DE7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Funding requested via this form</w:t>
      </w:r>
      <w:r w:rsidR="001914FC" w:rsidRPr="00E34DE7">
        <w:rPr>
          <w:rFonts w:eastAsia="Calibri"/>
          <w:bCs/>
          <w:color w:val="000000"/>
          <w:spacing w:val="1"/>
        </w:rPr>
        <w:t xml:space="preserve"> can be used for any of NBIF’s approved research expenses – a full list can be found in our Research Award Administration guidelines, but things like lab consumables, equipment, stipends etc. are included.</w:t>
      </w:r>
      <w:r>
        <w:rPr>
          <w:rFonts w:eastAsia="Calibri"/>
          <w:bCs/>
          <w:color w:val="000000"/>
          <w:spacing w:val="1"/>
        </w:rPr>
        <w:t xml:space="preserve"> The expenses must be related to the research project described in your Mitacs Accelerate application</w:t>
      </w:r>
      <w:r w:rsidR="00EC78E2">
        <w:rPr>
          <w:rFonts w:eastAsia="Calibri"/>
          <w:bCs/>
          <w:color w:val="000000"/>
          <w:spacing w:val="1"/>
        </w:rPr>
        <w:t>.</w:t>
      </w:r>
    </w:p>
    <w:p w14:paraId="4A1FE3DF" w14:textId="09A74B40" w:rsidR="001914FC" w:rsidRDefault="001914FC" w:rsidP="008645F3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Approval of this addendum is separate from approval of your Mitacs application – it is possible that you may be approved for the Mitacs while your additional funding request is rejected.</w:t>
      </w:r>
      <w:r w:rsidR="00E34DE7">
        <w:rPr>
          <w:rFonts w:eastAsia="Calibri"/>
          <w:bCs/>
          <w:color w:val="000000"/>
          <w:spacing w:val="1"/>
        </w:rPr>
        <w:t xml:space="preserve"> </w:t>
      </w:r>
      <w:r w:rsidR="00DF7DF4">
        <w:rPr>
          <w:rFonts w:eastAsia="Calibri"/>
          <w:bCs/>
          <w:color w:val="000000"/>
          <w:spacing w:val="1"/>
        </w:rPr>
        <w:t xml:space="preserve">You may apply for this funding before you receive a decision on your Mitacs Accelerate award. </w:t>
      </w:r>
      <w:r w:rsidR="00E34DE7">
        <w:rPr>
          <w:rFonts w:eastAsia="Calibri"/>
          <w:bCs/>
          <w:color w:val="000000"/>
          <w:spacing w:val="1"/>
        </w:rPr>
        <w:t xml:space="preserve">Approval of this addendum will be conditional on the Mitacs award being </w:t>
      </w:r>
      <w:r w:rsidR="00EC78E2">
        <w:rPr>
          <w:rFonts w:eastAsia="Calibri"/>
          <w:bCs/>
          <w:color w:val="000000"/>
          <w:spacing w:val="1"/>
        </w:rPr>
        <w:t>approved</w:t>
      </w:r>
      <w:r w:rsidR="00E34DE7">
        <w:rPr>
          <w:rFonts w:eastAsia="Calibri"/>
          <w:bCs/>
          <w:color w:val="000000"/>
          <w:spacing w:val="1"/>
        </w:rPr>
        <w:t>.</w:t>
      </w:r>
    </w:p>
    <w:p w14:paraId="46EF265C" w14:textId="62920DC7" w:rsidR="001914FC" w:rsidRDefault="001914FC" w:rsidP="008645F3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To apply, you will need to</w:t>
      </w:r>
      <w:r w:rsidR="00EC78E2">
        <w:rPr>
          <w:rFonts w:eastAsia="Calibri"/>
          <w:bCs/>
          <w:color w:val="000000"/>
          <w:spacing w:val="1"/>
        </w:rPr>
        <w:t>:</w:t>
      </w:r>
    </w:p>
    <w:p w14:paraId="37A9A0F8" w14:textId="022DC98B" w:rsidR="001914FC" w:rsidRDefault="001914FC" w:rsidP="001914FC">
      <w:pPr>
        <w:pStyle w:val="ListParagraph"/>
        <w:numPr>
          <w:ilvl w:val="0"/>
          <w:numId w:val="1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 xml:space="preserve">Demonstrate </w:t>
      </w:r>
      <w:r w:rsidR="00EC78E2">
        <w:rPr>
          <w:rFonts w:eastAsia="Calibri"/>
          <w:bCs/>
          <w:color w:val="000000"/>
          <w:spacing w:val="1"/>
        </w:rPr>
        <w:t>that you have matching funds requested or secured to meet</w:t>
      </w:r>
      <w:r>
        <w:rPr>
          <w:rFonts w:eastAsia="Calibri"/>
          <w:bCs/>
          <w:color w:val="000000"/>
          <w:spacing w:val="1"/>
        </w:rPr>
        <w:t xml:space="preserve"> a 2:1</w:t>
      </w:r>
      <w:r w:rsidR="00EC78E2">
        <w:rPr>
          <w:rFonts w:eastAsia="Calibri"/>
          <w:bCs/>
          <w:color w:val="000000"/>
          <w:spacing w:val="1"/>
        </w:rPr>
        <w:t xml:space="preserve"> (other </w:t>
      </w:r>
      <w:proofErr w:type="spellStart"/>
      <w:proofErr w:type="gramStart"/>
      <w:r w:rsidR="00EC78E2">
        <w:rPr>
          <w:rFonts w:eastAsia="Calibri"/>
          <w:bCs/>
          <w:color w:val="000000"/>
          <w:spacing w:val="1"/>
        </w:rPr>
        <w:t>sources:NBIF</w:t>
      </w:r>
      <w:proofErr w:type="spellEnd"/>
      <w:proofErr w:type="gramEnd"/>
      <w:r w:rsidR="00EC78E2">
        <w:rPr>
          <w:rFonts w:eastAsia="Calibri"/>
          <w:bCs/>
          <w:color w:val="000000"/>
          <w:spacing w:val="1"/>
        </w:rPr>
        <w:t>)</w:t>
      </w:r>
      <w:r>
        <w:rPr>
          <w:rFonts w:eastAsia="Calibri"/>
          <w:bCs/>
          <w:color w:val="000000"/>
          <w:spacing w:val="1"/>
        </w:rPr>
        <w:t xml:space="preserve"> minimum</w:t>
      </w:r>
      <w:r w:rsidR="00EC78E2">
        <w:rPr>
          <w:rFonts w:eastAsia="Calibri"/>
          <w:bCs/>
          <w:color w:val="000000"/>
          <w:spacing w:val="1"/>
        </w:rPr>
        <w:t xml:space="preserve"> leverage</w:t>
      </w:r>
      <w:r>
        <w:rPr>
          <w:rFonts w:eastAsia="Calibri"/>
          <w:bCs/>
          <w:color w:val="000000"/>
          <w:spacing w:val="1"/>
        </w:rPr>
        <w:t xml:space="preserve"> ratio.</w:t>
      </w:r>
      <w:r w:rsidR="006A08F0">
        <w:rPr>
          <w:rFonts w:eastAsia="Calibri"/>
          <w:bCs/>
          <w:color w:val="000000"/>
          <w:spacing w:val="1"/>
        </w:rPr>
        <w:t xml:space="preserve"> The Mitacs award is a valid leverage source, but you must have at least one additional cash leverage source in addition to the Mitacs </w:t>
      </w:r>
      <w:r w:rsidR="00EC78E2">
        <w:rPr>
          <w:rFonts w:eastAsia="Calibri"/>
          <w:bCs/>
          <w:color w:val="000000"/>
          <w:spacing w:val="1"/>
        </w:rPr>
        <w:t xml:space="preserve">Accelerate </w:t>
      </w:r>
      <w:r w:rsidR="006A08F0">
        <w:rPr>
          <w:rFonts w:eastAsia="Calibri"/>
          <w:bCs/>
          <w:color w:val="000000"/>
          <w:spacing w:val="1"/>
        </w:rPr>
        <w:t>award</w:t>
      </w:r>
    </w:p>
    <w:p w14:paraId="5611A6AA" w14:textId="30E6837B" w:rsidR="008E0251" w:rsidRPr="00DF7DF4" w:rsidRDefault="008E0251" w:rsidP="008E0251">
      <w:pPr>
        <w:pStyle w:val="ListParagraph"/>
        <w:numPr>
          <w:ilvl w:val="0"/>
          <w:numId w:val="1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Demonstrate how the NBIF funding will be used to further enable your project</w:t>
      </w:r>
    </w:p>
    <w:p w14:paraId="5BEAA74B" w14:textId="55127097" w:rsidR="00E34DE7" w:rsidRDefault="00EC78E2" w:rsidP="001914FC">
      <w:pPr>
        <w:pStyle w:val="ListParagraph"/>
        <w:numPr>
          <w:ilvl w:val="0"/>
          <w:numId w:val="1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 xml:space="preserve">Submit </w:t>
      </w:r>
      <w:r w:rsidR="00E34DE7">
        <w:rPr>
          <w:rFonts w:eastAsia="Calibri"/>
          <w:bCs/>
          <w:color w:val="000000"/>
          <w:spacing w:val="1"/>
        </w:rPr>
        <w:t>your Mitacs Accelerate application</w:t>
      </w:r>
      <w:r w:rsidR="006A08F0">
        <w:rPr>
          <w:rFonts w:eastAsia="Calibri"/>
          <w:bCs/>
          <w:color w:val="000000"/>
          <w:spacing w:val="1"/>
        </w:rPr>
        <w:t xml:space="preserve">, but </w:t>
      </w:r>
      <w:r>
        <w:rPr>
          <w:rFonts w:eastAsia="Calibri"/>
          <w:bCs/>
          <w:color w:val="000000"/>
          <w:spacing w:val="1"/>
        </w:rPr>
        <w:t>the project must not have started</w:t>
      </w:r>
    </w:p>
    <w:p w14:paraId="1F4912DC" w14:textId="212A1AEC" w:rsidR="001914FC" w:rsidRDefault="001914FC" w:rsidP="001914FC">
      <w:pPr>
        <w:pStyle w:val="ListParagraph"/>
        <w:numPr>
          <w:ilvl w:val="0"/>
          <w:numId w:val="1"/>
        </w:num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Satisfy our evaluation criteria</w:t>
      </w:r>
      <w:r w:rsidR="00E34DE7">
        <w:rPr>
          <w:rFonts w:eastAsia="Calibri"/>
          <w:bCs/>
          <w:color w:val="000000"/>
          <w:spacing w:val="1"/>
        </w:rPr>
        <w:t xml:space="preserve"> (listed </w:t>
      </w:r>
      <w:r w:rsidR="009E45B7">
        <w:rPr>
          <w:rFonts w:eastAsia="Calibri"/>
          <w:bCs/>
          <w:color w:val="000000"/>
          <w:spacing w:val="1"/>
        </w:rPr>
        <w:t xml:space="preserve">in Section D </w:t>
      </w:r>
      <w:r w:rsidR="00E34DE7">
        <w:rPr>
          <w:rFonts w:eastAsia="Calibri"/>
          <w:bCs/>
          <w:color w:val="000000"/>
          <w:spacing w:val="1"/>
        </w:rPr>
        <w:t>at the end of this form)</w:t>
      </w:r>
    </w:p>
    <w:p w14:paraId="02F9ACB5" w14:textId="2A566D35" w:rsidR="00E34DE7" w:rsidRDefault="00E34DE7" w:rsidP="00E34DE7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 xml:space="preserve">Completed application forms should be sent to </w:t>
      </w:r>
      <w:hyperlink r:id="rId9" w:history="1">
        <w:r w:rsidRPr="001D362D">
          <w:rPr>
            <w:rStyle w:val="Hyperlink"/>
            <w:rFonts w:eastAsia="Calibri"/>
            <w:bCs/>
            <w:spacing w:val="1"/>
          </w:rPr>
          <w:t>researchservices@nbif.ca</w:t>
        </w:r>
      </w:hyperlink>
      <w:r>
        <w:rPr>
          <w:rFonts w:eastAsia="Calibri"/>
          <w:bCs/>
          <w:color w:val="000000"/>
          <w:spacing w:val="1"/>
        </w:rPr>
        <w:t>.</w:t>
      </w:r>
      <w:r w:rsidR="006A08F0">
        <w:rPr>
          <w:rFonts w:eastAsia="Calibri"/>
          <w:bCs/>
          <w:color w:val="000000"/>
          <w:spacing w:val="1"/>
        </w:rPr>
        <w:t xml:space="preserve"> If approved, funding will be disbursed to the Principal Investigator as an NBIF Lab-to-Market award and will be subject to the normal conditions of NBIF awards (including reporting requirements).</w:t>
      </w:r>
      <w:r>
        <w:rPr>
          <w:rFonts w:eastAsia="Calibri"/>
          <w:bCs/>
          <w:color w:val="000000"/>
          <w:spacing w:val="1"/>
        </w:rPr>
        <w:t xml:space="preserve"> It will take approximately 4</w:t>
      </w:r>
      <w:r w:rsidR="00DF7DF4">
        <w:rPr>
          <w:rFonts w:eastAsia="Calibri"/>
          <w:bCs/>
          <w:color w:val="000000"/>
          <w:spacing w:val="1"/>
        </w:rPr>
        <w:t>-6</w:t>
      </w:r>
      <w:r>
        <w:rPr>
          <w:rFonts w:eastAsia="Calibri"/>
          <w:bCs/>
          <w:color w:val="000000"/>
          <w:spacing w:val="1"/>
        </w:rPr>
        <w:t xml:space="preserve"> weeks to receive a decision on your addendum request.</w:t>
      </w:r>
      <w:r w:rsidR="00EC78E2">
        <w:rPr>
          <w:rFonts w:eastAsia="Calibri"/>
          <w:bCs/>
          <w:color w:val="000000"/>
          <w:spacing w:val="1"/>
        </w:rPr>
        <w:t xml:space="preserve"> </w:t>
      </w:r>
    </w:p>
    <w:p w14:paraId="69347A96" w14:textId="77777777" w:rsidR="00931F77" w:rsidRDefault="00931F77" w:rsidP="00E34DE7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</w:p>
    <w:p w14:paraId="540B216A" w14:textId="298B89DC" w:rsidR="006A08F0" w:rsidRDefault="006A08F0" w:rsidP="00E34DE7">
      <w:pPr>
        <w:spacing w:line="266" w:lineRule="exact"/>
        <w:ind w:right="770"/>
        <w:rPr>
          <w:rFonts w:eastAsia="Calibri"/>
          <w:bCs/>
          <w:color w:val="000000"/>
          <w:spacing w:val="1"/>
        </w:rPr>
      </w:pPr>
      <w:r>
        <w:rPr>
          <w:rFonts w:eastAsia="Calibri"/>
          <w:bCs/>
          <w:color w:val="000000"/>
          <w:spacing w:val="1"/>
        </w:rPr>
        <w:t>Links:</w:t>
      </w:r>
    </w:p>
    <w:p w14:paraId="756C9237" w14:textId="63D97C89" w:rsidR="00E34DE7" w:rsidRDefault="00931F77" w:rsidP="006A08F0">
      <w:pPr>
        <w:spacing w:after="0"/>
      </w:pPr>
      <w:hyperlink r:id="rId10" w:history="1">
        <w:r w:rsidR="00E34DE7" w:rsidRPr="00931F77">
          <w:rPr>
            <w:rStyle w:val="Hyperlink"/>
          </w:rPr>
          <w:t>NBIF Research Award Administration guidelines</w:t>
        </w:r>
      </w:hyperlink>
    </w:p>
    <w:p w14:paraId="6132373F" w14:textId="753A7B37" w:rsidR="00E34DE7" w:rsidRDefault="00931F77" w:rsidP="006A08F0">
      <w:pPr>
        <w:spacing w:after="0"/>
      </w:pPr>
      <w:hyperlink r:id="rId11" w:history="1">
        <w:r w:rsidR="00E34DE7" w:rsidRPr="00931F77">
          <w:rPr>
            <w:rStyle w:val="Hyperlink"/>
          </w:rPr>
          <w:t>NBIF-Mitacs joint opportunity description</w:t>
        </w:r>
      </w:hyperlink>
      <w:r w:rsidR="0061213B">
        <w:t xml:space="preserve"> </w:t>
      </w:r>
    </w:p>
    <w:p w14:paraId="5E7E620C" w14:textId="02CDFD0F" w:rsidR="00E34DE7" w:rsidRPr="00E34DE7" w:rsidRDefault="00931F77" w:rsidP="006A08F0">
      <w:pPr>
        <w:spacing w:after="0"/>
      </w:pPr>
      <w:hyperlink r:id="rId12" w:history="1">
        <w:r w:rsidR="00E34DE7" w:rsidRPr="00931F77">
          <w:rPr>
            <w:rStyle w:val="Hyperlink"/>
          </w:rPr>
          <w:t>Mitacs Accelerate application form</w:t>
        </w:r>
      </w:hyperlink>
      <w:r w:rsidR="0061213B">
        <w:t xml:space="preserve"> </w:t>
      </w:r>
    </w:p>
    <w:p w14:paraId="5CDC7F67" w14:textId="121081D7" w:rsidR="008645F3" w:rsidRPr="008645F3" w:rsidRDefault="008645F3"/>
    <w:p w14:paraId="1E573D52" w14:textId="64F296F6" w:rsidR="00E34DE7" w:rsidRPr="00E34DE7" w:rsidRDefault="00E34DE7" w:rsidP="00E34DE7">
      <w:pPr>
        <w:jc w:val="center"/>
        <w:rPr>
          <w:b/>
          <w:bCs/>
          <w:u w:val="single"/>
        </w:rPr>
      </w:pPr>
      <w:r>
        <w:br w:type="column"/>
      </w:r>
      <w:r>
        <w:rPr>
          <w:b/>
          <w:bCs/>
          <w:sz w:val="30"/>
          <w:szCs w:val="30"/>
          <w:u w:val="single"/>
        </w:rPr>
        <w:lastRenderedPageBreak/>
        <w:t>NBIF-MITACS JOINT</w:t>
      </w:r>
      <w:r w:rsidR="00EC78E2">
        <w:rPr>
          <w:b/>
          <w:bCs/>
          <w:sz w:val="30"/>
          <w:szCs w:val="30"/>
          <w:u w:val="single"/>
        </w:rPr>
        <w:t xml:space="preserve"> ACCELERATE PROGRAM</w:t>
      </w:r>
      <w:r>
        <w:rPr>
          <w:b/>
          <w:bCs/>
          <w:sz w:val="30"/>
          <w:szCs w:val="30"/>
          <w:u w:val="single"/>
        </w:rPr>
        <w:t xml:space="preserve"> ADDENDUM - A</w:t>
      </w:r>
      <w:r w:rsidRPr="00E34DE7">
        <w:rPr>
          <w:b/>
          <w:bCs/>
          <w:sz w:val="30"/>
          <w:szCs w:val="30"/>
          <w:u w:val="single"/>
        </w:rPr>
        <w:t>PPLICATION FORM</w:t>
      </w:r>
    </w:p>
    <w:p w14:paraId="231EDDFB" w14:textId="77777777" w:rsidR="00E34DE7" w:rsidRDefault="00E34DE7" w:rsidP="00E34DE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SECTION A – BASIC INFORMATION</w:t>
      </w:r>
    </w:p>
    <w:p w14:paraId="7236BC33" w14:textId="75F2036F" w:rsidR="00E34DE7" w:rsidRPr="00DB2E89" w:rsidRDefault="00E34DE7" w:rsidP="00E34D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Mitacs application number (if known</w:t>
      </w:r>
      <w:r w:rsidRPr="00DB2E89">
        <w:rPr>
          <w:b/>
          <w:bCs/>
          <w:sz w:val="28"/>
          <w:szCs w:val="28"/>
        </w:rPr>
        <w:t>):</w:t>
      </w:r>
    </w:p>
    <w:p w14:paraId="38DEDE73" w14:textId="5FD2B7F6" w:rsidR="00E34DE7" w:rsidRPr="00AD407C" w:rsidRDefault="006A08F0" w:rsidP="00E34DE7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L2M</w:t>
      </w:r>
      <w:r w:rsidR="00E34DE7">
        <w:rPr>
          <w:b/>
          <w:sz w:val="28"/>
          <w:szCs w:val="28"/>
          <w:lang w:val="es-ES"/>
        </w:rPr>
        <w:t xml:space="preserve"> </w:t>
      </w:r>
      <w:proofErr w:type="spellStart"/>
      <w:r w:rsidR="00E34DE7">
        <w:rPr>
          <w:b/>
          <w:sz w:val="28"/>
          <w:szCs w:val="28"/>
          <w:lang w:val="es-ES"/>
        </w:rPr>
        <w:t>Fund</w:t>
      </w:r>
      <w:proofErr w:type="spellEnd"/>
      <w:r w:rsidR="00E34DE7">
        <w:rPr>
          <w:b/>
          <w:sz w:val="28"/>
          <w:szCs w:val="28"/>
          <w:lang w:val="es-ES"/>
        </w:rPr>
        <w:t xml:space="preserve"> </w:t>
      </w:r>
      <w:r w:rsidR="00E34DE7" w:rsidRPr="00AD407C">
        <w:rPr>
          <w:b/>
          <w:sz w:val="28"/>
          <w:szCs w:val="28"/>
          <w:lang w:val="es-ES"/>
        </w:rPr>
        <w:t>Reference No</w:t>
      </w:r>
      <w:r w:rsidR="00E34DE7" w:rsidRPr="00AD407C">
        <w:rPr>
          <w:sz w:val="28"/>
          <w:szCs w:val="28"/>
          <w:lang w:val="es-ES"/>
        </w:rPr>
        <w:t>.</w:t>
      </w:r>
      <w:r w:rsidR="00E34DE7">
        <w:rPr>
          <w:sz w:val="28"/>
          <w:szCs w:val="28"/>
          <w:lang w:val="es-ES"/>
        </w:rPr>
        <w:t xml:space="preserve"> </w:t>
      </w:r>
      <w:r w:rsidR="00E34DE7" w:rsidRPr="00DB2E89">
        <w:rPr>
          <w:b/>
          <w:bCs/>
          <w:sz w:val="28"/>
          <w:szCs w:val="28"/>
          <w:lang w:val="es-ES"/>
        </w:rPr>
        <w:t xml:space="preserve">(NBIF use </w:t>
      </w:r>
      <w:proofErr w:type="spellStart"/>
      <w:r w:rsidR="00E34DE7" w:rsidRPr="00DB2E89">
        <w:rPr>
          <w:b/>
          <w:bCs/>
          <w:sz w:val="28"/>
          <w:szCs w:val="28"/>
          <w:lang w:val="es-ES"/>
        </w:rPr>
        <w:t>only</w:t>
      </w:r>
      <w:proofErr w:type="spellEnd"/>
      <w:r w:rsidR="00E34DE7" w:rsidRPr="00DB2E89">
        <w:rPr>
          <w:b/>
          <w:bCs/>
          <w:sz w:val="28"/>
          <w:szCs w:val="28"/>
          <w:lang w:val="es-ES"/>
        </w:rPr>
        <w:t>):</w:t>
      </w:r>
      <w:r w:rsidR="00E34DE7" w:rsidRPr="00AD407C">
        <w:rPr>
          <w:sz w:val="28"/>
          <w:szCs w:val="28"/>
          <w:lang w:val="es-ES"/>
        </w:rPr>
        <w:t xml:space="preserve"> </w:t>
      </w:r>
    </w:p>
    <w:p w14:paraId="5908A73C" w14:textId="77777777" w:rsidR="00E34DE7" w:rsidRPr="00AD407C" w:rsidRDefault="00E34DE7" w:rsidP="00E34DE7">
      <w:pPr>
        <w:rPr>
          <w:sz w:val="28"/>
          <w:szCs w:val="28"/>
          <w:lang w:val="es-ES"/>
        </w:rPr>
      </w:pPr>
      <w:r w:rsidRPr="00AD407C">
        <w:rPr>
          <w:b/>
          <w:sz w:val="28"/>
          <w:szCs w:val="28"/>
          <w:lang w:val="es-ES"/>
        </w:rPr>
        <w:t xml:space="preserve">Principal </w:t>
      </w:r>
      <w:proofErr w:type="spellStart"/>
      <w:r w:rsidRPr="00AD407C">
        <w:rPr>
          <w:b/>
          <w:sz w:val="28"/>
          <w:szCs w:val="28"/>
          <w:lang w:val="es-ES"/>
        </w:rPr>
        <w:t>Investigator</w:t>
      </w:r>
      <w:proofErr w:type="spellEnd"/>
      <w:r w:rsidRPr="00AD407C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</w:p>
    <w:p w14:paraId="3C04913F" w14:textId="46A099B8" w:rsidR="00E34DE7" w:rsidRPr="00E7172F" w:rsidRDefault="006A08F0" w:rsidP="00E34DE7">
      <w:pPr>
        <w:rPr>
          <w:sz w:val="28"/>
          <w:szCs w:val="28"/>
        </w:rPr>
      </w:pPr>
      <w:r>
        <w:rPr>
          <w:b/>
          <w:sz w:val="28"/>
          <w:szCs w:val="28"/>
        </w:rPr>
        <w:t>PI</w:t>
      </w:r>
      <w:r w:rsidR="00E34DE7" w:rsidRPr="00E7172F">
        <w:rPr>
          <w:b/>
          <w:sz w:val="28"/>
          <w:szCs w:val="28"/>
        </w:rPr>
        <w:t xml:space="preserve"> e-mail</w:t>
      </w:r>
      <w:r w:rsidR="00E34DE7" w:rsidRPr="00E7172F">
        <w:rPr>
          <w:sz w:val="28"/>
          <w:szCs w:val="28"/>
        </w:rPr>
        <w:t xml:space="preserve">: </w:t>
      </w:r>
    </w:p>
    <w:p w14:paraId="1644FFAC" w14:textId="3797DA2E" w:rsidR="00E34DE7" w:rsidRDefault="00E34DE7" w:rsidP="00E34DE7">
      <w:pPr>
        <w:rPr>
          <w:sz w:val="28"/>
          <w:szCs w:val="28"/>
          <w:lang w:val="en-US"/>
        </w:rPr>
      </w:pPr>
      <w:r w:rsidRPr="00DB2E89">
        <w:rPr>
          <w:b/>
          <w:sz w:val="28"/>
          <w:szCs w:val="28"/>
          <w:lang w:val="en-US"/>
        </w:rPr>
        <w:t>Organization</w:t>
      </w:r>
      <w:r w:rsidRPr="00DB2E89">
        <w:rPr>
          <w:sz w:val="28"/>
          <w:szCs w:val="28"/>
          <w:lang w:val="en-US"/>
        </w:rPr>
        <w:t>:</w:t>
      </w:r>
    </w:p>
    <w:p w14:paraId="5799E4DC" w14:textId="6C667FF0" w:rsidR="006A08F0" w:rsidRDefault="006A08F0" w:rsidP="00E34DE7">
      <w:pPr>
        <w:rPr>
          <w:b/>
          <w:bCs/>
          <w:sz w:val="28"/>
          <w:szCs w:val="28"/>
          <w:lang w:val="en-US"/>
        </w:rPr>
      </w:pPr>
      <w:r w:rsidRPr="006A08F0">
        <w:rPr>
          <w:b/>
          <w:bCs/>
          <w:sz w:val="28"/>
          <w:szCs w:val="28"/>
          <w:lang w:val="en-US"/>
        </w:rPr>
        <w:t>Project Title (must be the same as the Mitacs project title):</w:t>
      </w:r>
    </w:p>
    <w:p w14:paraId="3346FFCB" w14:textId="53846CDA" w:rsidR="00EC78E2" w:rsidRPr="006A08F0" w:rsidRDefault="00EC78E2" w:rsidP="00E34DE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Anticipated Start Date:</w:t>
      </w:r>
    </w:p>
    <w:p w14:paraId="66299DC5" w14:textId="659685DA" w:rsidR="006A08F0" w:rsidRDefault="006A08F0" w:rsidP="00E34DE7">
      <w:pPr>
        <w:rPr>
          <w:sz w:val="28"/>
          <w:szCs w:val="28"/>
          <w:lang w:val="en-US"/>
        </w:rPr>
      </w:pPr>
    </w:p>
    <w:p w14:paraId="5A99DCA0" w14:textId="5BB1DD8F" w:rsidR="006A08F0" w:rsidRDefault="006A08F0" w:rsidP="00E34DE7">
      <w:pPr>
        <w:rPr>
          <w:sz w:val="28"/>
          <w:szCs w:val="28"/>
          <w:lang w:val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2693"/>
      </w:tblGrid>
      <w:tr w:rsidR="006A08F0" w:rsidRPr="006A08F0" w14:paraId="5D3AB71A" w14:textId="77777777" w:rsidTr="0061213B">
        <w:trPr>
          <w:trHeight w:hRule="exact"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14:paraId="420C039F" w14:textId="205025C6" w:rsidR="006A08F0" w:rsidRPr="006A08F0" w:rsidRDefault="006A08F0" w:rsidP="00DE1EC6">
            <w:pPr>
              <w:spacing w:line="242" w:lineRule="exact"/>
              <w:ind w:right="-20"/>
              <w:rPr>
                <w:rFonts w:eastAsia="Calibri"/>
                <w:b/>
                <w:bCs/>
                <w:sz w:val="24"/>
                <w:szCs w:val="24"/>
              </w:rPr>
            </w:pPr>
            <w:r w:rsidRPr="006A08F0">
              <w:rPr>
                <w:rFonts w:eastAsia="Calibri"/>
                <w:b/>
                <w:bCs/>
                <w:spacing w:val="1"/>
                <w:position w:val="1"/>
                <w:sz w:val="24"/>
                <w:szCs w:val="24"/>
              </w:rPr>
              <w:t>Attachments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1F3B384" w14:textId="1F7BF1D0" w:rsidR="006A08F0" w:rsidRPr="006A08F0" w:rsidRDefault="006A08F0" w:rsidP="00DE1EC6">
            <w:pPr>
              <w:spacing w:line="242" w:lineRule="exact"/>
              <w:ind w:right="97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A08F0">
              <w:rPr>
                <w:rFonts w:eastAsia="Calibri"/>
                <w:b/>
                <w:bCs/>
                <w:sz w:val="24"/>
                <w:szCs w:val="24"/>
              </w:rPr>
              <w:t>Check if included</w:t>
            </w:r>
          </w:p>
        </w:tc>
      </w:tr>
      <w:tr w:rsidR="006A08F0" w:rsidRPr="006A08F0" w14:paraId="1571F64C" w14:textId="77777777" w:rsidTr="0061213B">
        <w:trPr>
          <w:trHeight w:hRule="exact"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F4CB8" w14:textId="77777777" w:rsidR="006A08F0" w:rsidRPr="006A08F0" w:rsidRDefault="006A08F0" w:rsidP="00DE1EC6">
            <w:pPr>
              <w:spacing w:line="242" w:lineRule="exact"/>
              <w:ind w:right="-20"/>
              <w:rPr>
                <w:rFonts w:eastAsia="Calibri"/>
                <w:sz w:val="24"/>
                <w:szCs w:val="24"/>
              </w:rPr>
            </w:pPr>
            <w:r w:rsidRPr="006A08F0">
              <w:rPr>
                <w:rFonts w:eastAsia="Calibri"/>
                <w:position w:val="1"/>
                <w:sz w:val="24"/>
                <w:szCs w:val="24"/>
              </w:rPr>
              <w:t>Mitacs Accelerate Application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F462" w14:textId="77777777" w:rsidR="006A08F0" w:rsidRPr="006A08F0" w:rsidRDefault="006A08F0" w:rsidP="00DE1E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A08F0" w:rsidRPr="006A08F0" w14:paraId="39A4D192" w14:textId="77777777" w:rsidTr="0061213B">
        <w:trPr>
          <w:trHeight w:hRule="exact"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78E8" w14:textId="77777777" w:rsidR="006A08F0" w:rsidRPr="006A08F0" w:rsidRDefault="006A08F0" w:rsidP="00DE1EC6">
            <w:pPr>
              <w:spacing w:line="242" w:lineRule="exact"/>
              <w:ind w:right="-20"/>
              <w:rPr>
                <w:rFonts w:eastAsia="Calibri"/>
                <w:position w:val="1"/>
                <w:sz w:val="24"/>
                <w:szCs w:val="24"/>
              </w:rPr>
            </w:pPr>
            <w:r w:rsidRPr="006A08F0">
              <w:rPr>
                <w:rFonts w:eastAsia="Calibri"/>
                <w:position w:val="1"/>
                <w:sz w:val="24"/>
                <w:szCs w:val="24"/>
              </w:rPr>
              <w:t>Resume/CV of the PI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3812" w14:textId="77777777" w:rsidR="006A08F0" w:rsidRPr="006A08F0" w:rsidRDefault="006A08F0" w:rsidP="00DE1E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A08F0" w:rsidRPr="006A08F0" w14:paraId="54F1D69A" w14:textId="77777777" w:rsidTr="0061213B">
        <w:trPr>
          <w:trHeight w:hRule="exact" w:val="25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AF60" w14:textId="5ED94DE1" w:rsidR="006A08F0" w:rsidRPr="006A08F0" w:rsidRDefault="001C7E2B" w:rsidP="00DE1EC6">
            <w:pPr>
              <w:spacing w:line="242" w:lineRule="exact"/>
              <w:ind w:right="-20"/>
              <w:rPr>
                <w:rFonts w:eastAsia="Calibri"/>
                <w:position w:val="1"/>
                <w:sz w:val="24"/>
                <w:szCs w:val="24"/>
              </w:rPr>
            </w:pPr>
            <w:r>
              <w:rPr>
                <w:rFonts w:eastAsia="Calibri"/>
                <w:position w:val="1"/>
                <w:sz w:val="24"/>
                <w:szCs w:val="24"/>
              </w:rPr>
              <w:t>Budget (only if not using the table in the form below)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779" w14:textId="77777777" w:rsidR="006A08F0" w:rsidRPr="006A08F0" w:rsidRDefault="006A08F0" w:rsidP="00DE1EC6">
            <w:pPr>
              <w:spacing w:line="256" w:lineRule="auto"/>
              <w:ind w:hanging="990"/>
              <w:jc w:val="center"/>
              <w:rPr>
                <w:sz w:val="24"/>
                <w:szCs w:val="24"/>
              </w:rPr>
            </w:pPr>
          </w:p>
        </w:tc>
      </w:tr>
    </w:tbl>
    <w:p w14:paraId="518DA551" w14:textId="77777777" w:rsidR="006A08F0" w:rsidRPr="006A08F0" w:rsidRDefault="006A08F0" w:rsidP="00E34DE7">
      <w:pPr>
        <w:rPr>
          <w:sz w:val="28"/>
          <w:szCs w:val="28"/>
        </w:rPr>
      </w:pPr>
    </w:p>
    <w:p w14:paraId="790C8994" w14:textId="77B72D78" w:rsidR="008645F3" w:rsidRPr="006A08F0" w:rsidRDefault="00E34DE7" w:rsidP="00E34DE7">
      <w:pPr>
        <w:rPr>
          <w:b/>
          <w:caps/>
          <w:sz w:val="28"/>
          <w:szCs w:val="28"/>
          <w:u w:val="single"/>
        </w:rPr>
      </w:pPr>
      <w:r w:rsidRPr="00DB2E89">
        <w:rPr>
          <w:b/>
          <w:sz w:val="28"/>
          <w:szCs w:val="28"/>
          <w:u w:val="single"/>
          <w:lang w:val="en-US"/>
        </w:rPr>
        <w:br w:type="column"/>
      </w:r>
      <w:r w:rsidR="008645F3" w:rsidRPr="006A08F0">
        <w:rPr>
          <w:b/>
          <w:caps/>
          <w:sz w:val="28"/>
          <w:szCs w:val="28"/>
          <w:u w:val="single"/>
        </w:rPr>
        <w:lastRenderedPageBreak/>
        <w:t>Section B: Project Information</w:t>
      </w:r>
    </w:p>
    <w:p w14:paraId="5F60F7A1" w14:textId="550E2C68" w:rsidR="008645F3" w:rsidRPr="006A08F0" w:rsidRDefault="006A08F0">
      <w:pPr>
        <w:rPr>
          <w:b/>
          <w:sz w:val="28"/>
          <w:szCs w:val="28"/>
        </w:rPr>
      </w:pPr>
      <w:r w:rsidRPr="006A08F0">
        <w:rPr>
          <w:b/>
          <w:sz w:val="28"/>
          <w:szCs w:val="28"/>
        </w:rPr>
        <w:t>Why do you need additional funding to support your Mitacs Accelerate project? (200 words max)</w:t>
      </w:r>
    </w:p>
    <w:p w14:paraId="7170D768" w14:textId="77777777" w:rsidR="00DB311C" w:rsidRDefault="006A08F0">
      <w:pPr>
        <w:rPr>
          <w:b/>
          <w:sz w:val="28"/>
          <w:szCs w:val="28"/>
        </w:rPr>
      </w:pPr>
      <w:r w:rsidRPr="006A08F0">
        <w:rPr>
          <w:b/>
          <w:sz w:val="28"/>
          <w:szCs w:val="28"/>
        </w:rPr>
        <w:t>If this request is approved, what additional outcomes will be enabled? (200 words max)</w:t>
      </w:r>
      <w:r w:rsidR="00DB311C" w:rsidRPr="00DB311C">
        <w:rPr>
          <w:b/>
          <w:sz w:val="28"/>
          <w:szCs w:val="28"/>
        </w:rPr>
        <w:t xml:space="preserve"> </w:t>
      </w:r>
    </w:p>
    <w:p w14:paraId="6742E976" w14:textId="1DB3D62F" w:rsidR="006A08F0" w:rsidRPr="006A08F0" w:rsidRDefault="00DB3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additional information which is not in</w:t>
      </w:r>
      <w:r w:rsidR="00EC78E2">
        <w:rPr>
          <w:b/>
          <w:sz w:val="28"/>
          <w:szCs w:val="28"/>
        </w:rPr>
        <w:t>cluded in</w:t>
      </w:r>
      <w:r>
        <w:rPr>
          <w:b/>
          <w:sz w:val="28"/>
          <w:szCs w:val="28"/>
        </w:rPr>
        <w:t xml:space="preserve"> the Mitacs </w:t>
      </w:r>
      <w:r w:rsidR="00EC78E2">
        <w:rPr>
          <w:b/>
          <w:sz w:val="28"/>
          <w:szCs w:val="28"/>
        </w:rPr>
        <w:t>application,</w:t>
      </w:r>
      <w:r>
        <w:rPr>
          <w:b/>
          <w:sz w:val="28"/>
          <w:szCs w:val="28"/>
        </w:rPr>
        <w:t xml:space="preserve"> but </w:t>
      </w:r>
      <w:r w:rsidR="0061213B">
        <w:rPr>
          <w:b/>
          <w:sz w:val="28"/>
          <w:szCs w:val="28"/>
        </w:rPr>
        <w:t xml:space="preserve">addresses the </w:t>
      </w:r>
      <w:r w:rsidR="00EC78E2">
        <w:rPr>
          <w:b/>
          <w:sz w:val="28"/>
          <w:szCs w:val="28"/>
        </w:rPr>
        <w:t xml:space="preserve">NBIF </w:t>
      </w:r>
      <w:r w:rsidR="0061213B">
        <w:rPr>
          <w:b/>
          <w:sz w:val="28"/>
          <w:szCs w:val="28"/>
        </w:rPr>
        <w:t>evaluation criteria</w:t>
      </w:r>
      <w:r w:rsidR="00EC78E2">
        <w:rPr>
          <w:b/>
          <w:sz w:val="28"/>
          <w:szCs w:val="28"/>
        </w:rPr>
        <w:t xml:space="preserve"> in Section D:</w:t>
      </w:r>
      <w:r w:rsidR="0061213B">
        <w:rPr>
          <w:b/>
          <w:sz w:val="28"/>
          <w:szCs w:val="28"/>
        </w:rPr>
        <w:t xml:space="preserve"> (200 words)</w:t>
      </w:r>
    </w:p>
    <w:p w14:paraId="58120264" w14:textId="77777777" w:rsidR="008645F3" w:rsidRPr="006A08F0" w:rsidRDefault="008645F3" w:rsidP="00752C6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</w:p>
    <w:p w14:paraId="0A2CDDA5" w14:textId="5AFE496D" w:rsidR="006A08F0" w:rsidRPr="006A08F0" w:rsidRDefault="001C7E2B" w:rsidP="006A08F0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column"/>
      </w:r>
      <w:r w:rsidR="006A08F0" w:rsidRPr="006A08F0">
        <w:rPr>
          <w:b/>
          <w:caps/>
          <w:sz w:val="28"/>
          <w:szCs w:val="28"/>
          <w:u w:val="single"/>
        </w:rPr>
        <w:lastRenderedPageBreak/>
        <w:t xml:space="preserve">Section </w:t>
      </w:r>
      <w:r w:rsidR="006A08F0">
        <w:rPr>
          <w:b/>
          <w:caps/>
          <w:sz w:val="28"/>
          <w:szCs w:val="28"/>
          <w:u w:val="single"/>
        </w:rPr>
        <w:t>C</w:t>
      </w:r>
      <w:r w:rsidR="006A08F0" w:rsidRPr="006A08F0">
        <w:rPr>
          <w:b/>
          <w:caps/>
          <w:sz w:val="28"/>
          <w:szCs w:val="28"/>
          <w:u w:val="single"/>
        </w:rPr>
        <w:t xml:space="preserve">: </w:t>
      </w:r>
      <w:r>
        <w:rPr>
          <w:b/>
          <w:caps/>
          <w:sz w:val="28"/>
          <w:szCs w:val="28"/>
          <w:u w:val="single"/>
        </w:rPr>
        <w:t>Financials</w:t>
      </w:r>
    </w:p>
    <w:p w14:paraId="319A5EA0" w14:textId="24A9B13F" w:rsidR="006A08F0" w:rsidRDefault="006A08F0" w:rsidP="006A08F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Describe the </w:t>
      </w:r>
      <w:r w:rsidR="00EC7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other sources of funding (leverage)</w:t>
      </w: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available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– please note that the Mitacs </w:t>
      </w:r>
      <w:r w:rsidR="00EC7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Accelerate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award is a valid leverage source</w:t>
      </w: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="001C7E2B" w:rsidRPr="001C7E2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(150 words max)</w:t>
      </w:r>
    </w:p>
    <w:p w14:paraId="7A31C6F7" w14:textId="77777777" w:rsidR="001C7E2B" w:rsidRPr="006A08F0" w:rsidRDefault="001C7E2B" w:rsidP="001C7E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2AAECC3" w14:textId="3D142CA8" w:rsidR="001C7E2B" w:rsidRPr="006A08F0" w:rsidRDefault="001C7E2B" w:rsidP="001C7E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Leverage sources (include the Mitacs</w:t>
      </w:r>
      <w:r w:rsidR="00EC78E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Accelerate</w:t>
      </w: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award and the accompanying partner contribution in this table</w:t>
      </w:r>
      <w:r w:rsidR="00DF7DF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 There must be at least one other source besides the Mitacs Accelerate award</w:t>
      </w:r>
      <w:r w:rsidRPr="006A08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14:paraId="5249D892" w14:textId="77777777" w:rsidR="001C7E2B" w:rsidRPr="006A08F0" w:rsidRDefault="001C7E2B" w:rsidP="001C7E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7E2B" w14:paraId="2ABCFDA2" w14:textId="77777777" w:rsidTr="00F80F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29CF" w14:textId="77777777" w:rsidR="001C7E2B" w:rsidRDefault="001C7E2B" w:rsidP="00F80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Funds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30E" w14:textId="77777777" w:rsidR="001C7E2B" w:rsidRDefault="001C7E2B" w:rsidP="00F80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Requested or Secured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8FD7" w14:textId="77777777" w:rsidR="001C7E2B" w:rsidRDefault="001C7E2B" w:rsidP="00F80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 in Cash ($)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954" w14:textId="77777777" w:rsidR="001C7E2B" w:rsidRDefault="001C7E2B" w:rsidP="00F80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 in kind ($)</w:t>
            </w:r>
          </w:p>
        </w:tc>
      </w:tr>
      <w:tr w:rsidR="001C7E2B" w14:paraId="46F1CBF0" w14:textId="77777777" w:rsidTr="00F80F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BD5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4E6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013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E8C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</w:tr>
      <w:tr w:rsidR="001C7E2B" w14:paraId="09D76427" w14:textId="77777777" w:rsidTr="00F80F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02D" w14:textId="77777777" w:rsidR="001C7E2B" w:rsidRDefault="001C7E2B" w:rsidP="00F80F89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DF4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127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425" w14:textId="77777777" w:rsidR="001C7E2B" w:rsidRDefault="001C7E2B" w:rsidP="00F80F89">
            <w:pPr>
              <w:rPr>
                <w:sz w:val="28"/>
                <w:szCs w:val="28"/>
              </w:rPr>
            </w:pPr>
          </w:p>
        </w:tc>
      </w:tr>
    </w:tbl>
    <w:p w14:paraId="2729F54D" w14:textId="77777777" w:rsidR="001C7E2B" w:rsidRDefault="001C7E2B" w:rsidP="001C7E2B">
      <w:pPr>
        <w:rPr>
          <w:sz w:val="28"/>
          <w:szCs w:val="28"/>
        </w:rPr>
      </w:pPr>
    </w:p>
    <w:p w14:paraId="33D208AA" w14:textId="07F465A5" w:rsidR="006A08F0" w:rsidRDefault="006A08F0" w:rsidP="006A08F0">
      <w:pPr>
        <w:rPr>
          <w:sz w:val="28"/>
          <w:szCs w:val="28"/>
        </w:rPr>
      </w:pPr>
      <w:r w:rsidRPr="005B491C">
        <w:rPr>
          <w:b/>
          <w:sz w:val="28"/>
          <w:szCs w:val="28"/>
        </w:rPr>
        <w:t>Requested contribution from the NBIF</w:t>
      </w:r>
      <w:r>
        <w:rPr>
          <w:sz w:val="28"/>
          <w:szCs w:val="28"/>
        </w:rPr>
        <w:t xml:space="preserve">: </w:t>
      </w:r>
      <w:r w:rsidR="001C7E2B">
        <w:rPr>
          <w:sz w:val="28"/>
          <w:szCs w:val="28"/>
        </w:rPr>
        <w:t xml:space="preserve">(dollars) </w:t>
      </w:r>
      <w:r>
        <w:rPr>
          <w:sz w:val="28"/>
          <w:szCs w:val="28"/>
        </w:rPr>
        <w:t>$</w:t>
      </w:r>
    </w:p>
    <w:p w14:paraId="53CAA57C" w14:textId="203B7A6A" w:rsidR="006A08F0" w:rsidRPr="006A08F0" w:rsidRDefault="006A08F0" w:rsidP="006A08F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80CBFF4" w14:textId="67182FF2" w:rsidR="006A08F0" w:rsidRDefault="006A08F0" w:rsidP="006A08F0">
      <w:pPr>
        <w:rPr>
          <w:sz w:val="28"/>
          <w:szCs w:val="28"/>
        </w:rPr>
      </w:pPr>
      <w:r w:rsidRPr="006A08F0">
        <w:rPr>
          <w:b/>
          <w:sz w:val="28"/>
          <w:szCs w:val="28"/>
        </w:rPr>
        <w:t xml:space="preserve">Budget (include the use of the Mitacs </w:t>
      </w:r>
      <w:r w:rsidR="00EC78E2">
        <w:rPr>
          <w:b/>
          <w:sz w:val="28"/>
          <w:szCs w:val="28"/>
        </w:rPr>
        <w:t xml:space="preserve">Accelerate </w:t>
      </w:r>
      <w:r w:rsidRPr="006A08F0">
        <w:rPr>
          <w:b/>
          <w:sz w:val="28"/>
          <w:szCs w:val="28"/>
        </w:rPr>
        <w:t xml:space="preserve">award </w:t>
      </w:r>
      <w:r w:rsidR="00DF7DF4">
        <w:rPr>
          <w:b/>
          <w:sz w:val="28"/>
          <w:szCs w:val="28"/>
        </w:rPr>
        <w:t xml:space="preserve">and other leverage sources </w:t>
      </w:r>
      <w:r w:rsidRPr="006A08F0">
        <w:rPr>
          <w:b/>
          <w:sz w:val="28"/>
          <w:szCs w:val="28"/>
        </w:rPr>
        <w:t>in this table)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(fill in this table or add an attachment in your preferred format):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A08F0" w14:paraId="3EDAE282" w14:textId="77777777" w:rsidTr="00DE1EC6">
        <w:tc>
          <w:tcPr>
            <w:tcW w:w="2337" w:type="dxa"/>
          </w:tcPr>
          <w:p w14:paraId="4C2CE95A" w14:textId="77777777" w:rsidR="006A08F0" w:rsidRPr="005B491C" w:rsidRDefault="006A08F0" w:rsidP="00DE1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37" w:type="dxa"/>
          </w:tcPr>
          <w:p w14:paraId="7201093E" w14:textId="77777777" w:rsidR="006A08F0" w:rsidRPr="005B491C" w:rsidRDefault="006A08F0" w:rsidP="00DE1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2338" w:type="dxa"/>
          </w:tcPr>
          <w:p w14:paraId="2CCC90C7" w14:textId="77777777" w:rsidR="006A08F0" w:rsidRPr="005B491C" w:rsidRDefault="006A08F0" w:rsidP="00DE1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6A08F0" w14:paraId="76F0FC20" w14:textId="77777777" w:rsidTr="00DE1EC6">
        <w:tc>
          <w:tcPr>
            <w:tcW w:w="2337" w:type="dxa"/>
          </w:tcPr>
          <w:p w14:paraId="6E306240" w14:textId="77777777" w:rsidR="006A08F0" w:rsidRDefault="006A08F0" w:rsidP="00DE1EC6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513626F6" w14:textId="77777777" w:rsidR="006A08F0" w:rsidRDefault="006A08F0" w:rsidP="00DE1EC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58192FF" w14:textId="77777777" w:rsidR="006A08F0" w:rsidRDefault="006A08F0" w:rsidP="00DE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24D3EB5B" w14:textId="1605605F" w:rsidR="006A08F0" w:rsidRPr="006A08F0" w:rsidRDefault="006A08F0" w:rsidP="006A08F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AFD8D8B" w14:textId="79A26304" w:rsidR="00752C66" w:rsidRDefault="00752C66"/>
    <w:p w14:paraId="3AF93328" w14:textId="57634AD7" w:rsidR="006A08F0" w:rsidRPr="001C7E2B" w:rsidRDefault="001C7E2B" w:rsidP="006A08F0">
      <w:pPr>
        <w:rPr>
          <w:b/>
          <w:caps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br w:type="column"/>
      </w:r>
      <w:r w:rsidR="006A08F0" w:rsidRPr="001C7E2B">
        <w:rPr>
          <w:b/>
          <w:caps/>
          <w:color w:val="000000" w:themeColor="text1"/>
          <w:sz w:val="28"/>
          <w:szCs w:val="28"/>
          <w:u w:val="single"/>
        </w:rPr>
        <w:lastRenderedPageBreak/>
        <w:t>SECTION D</w:t>
      </w:r>
      <w:r>
        <w:rPr>
          <w:b/>
          <w:caps/>
          <w:color w:val="000000" w:themeColor="text1"/>
          <w:sz w:val="28"/>
          <w:szCs w:val="28"/>
          <w:u w:val="single"/>
        </w:rPr>
        <w:t>:</w:t>
      </w:r>
      <w:r w:rsidR="006A08F0" w:rsidRPr="001C7E2B">
        <w:rPr>
          <w:b/>
          <w:caps/>
          <w:color w:val="000000" w:themeColor="text1"/>
          <w:sz w:val="28"/>
          <w:szCs w:val="28"/>
          <w:u w:val="single"/>
        </w:rPr>
        <w:t xml:space="preserve"> Evaluation (for NBIF use only)</w:t>
      </w:r>
    </w:p>
    <w:p w14:paraId="052C4706" w14:textId="77777777" w:rsidR="006A08F0" w:rsidRPr="003F508C" w:rsidRDefault="006A08F0" w:rsidP="006A08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NBIF will use the following score sheet to review each application. </w:t>
      </w:r>
      <w:r w:rsidRPr="00DB186F">
        <w:rPr>
          <w:bCs/>
          <w:color w:val="000000" w:themeColor="text1"/>
          <w:sz w:val="28"/>
          <w:szCs w:val="28"/>
        </w:rPr>
        <w:t>A score of “</w:t>
      </w:r>
      <w:r>
        <w:rPr>
          <w:bCs/>
          <w:color w:val="000000" w:themeColor="text1"/>
          <w:sz w:val="28"/>
          <w:szCs w:val="28"/>
        </w:rPr>
        <w:t>d</w:t>
      </w:r>
      <w:r w:rsidRPr="00DB186F">
        <w:rPr>
          <w:bCs/>
          <w:color w:val="000000" w:themeColor="text1"/>
          <w:sz w:val="28"/>
          <w:szCs w:val="28"/>
        </w:rPr>
        <w:t>oes not meet criteria” on any one criterion point will result in an automatic rejection.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08F0" w14:paraId="45391383" w14:textId="77777777" w:rsidTr="00DB311C">
        <w:tc>
          <w:tcPr>
            <w:tcW w:w="2337" w:type="dxa"/>
            <w:tcBorders>
              <w:top w:val="nil"/>
              <w:left w:val="nil"/>
              <w:bottom w:val="single" w:sz="4" w:space="0" w:color="auto"/>
            </w:tcBorders>
          </w:tcPr>
          <w:p w14:paraId="0EAD5B38" w14:textId="77777777" w:rsidR="006A08F0" w:rsidRDefault="006A08F0" w:rsidP="00DE1EC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B912300" w14:textId="77777777" w:rsidR="006A08F0" w:rsidRPr="003F508C" w:rsidRDefault="006A08F0" w:rsidP="00DE1EC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Does not meet criteria</w:t>
            </w:r>
          </w:p>
        </w:tc>
        <w:tc>
          <w:tcPr>
            <w:tcW w:w="2338" w:type="dxa"/>
          </w:tcPr>
          <w:p w14:paraId="79F87E8E" w14:textId="77777777" w:rsidR="006A08F0" w:rsidRPr="003F508C" w:rsidRDefault="006A08F0" w:rsidP="00DE1EC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Somewhat meets criteria</w:t>
            </w:r>
          </w:p>
        </w:tc>
        <w:tc>
          <w:tcPr>
            <w:tcW w:w="2338" w:type="dxa"/>
          </w:tcPr>
          <w:p w14:paraId="4D1BF955" w14:textId="77777777" w:rsidR="006A08F0" w:rsidRPr="003F508C" w:rsidRDefault="006A08F0" w:rsidP="00DE1EC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Meets Criteria</w:t>
            </w:r>
          </w:p>
        </w:tc>
      </w:tr>
      <w:tr w:rsidR="00DB311C" w14:paraId="39ED7407" w14:textId="77777777" w:rsidTr="00DB311C"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58E505F3" w14:textId="49374D5F" w:rsidR="00DB311C" w:rsidRPr="0061213B" w:rsidRDefault="00DB311C" w:rsidP="00DE1EC6">
            <w:pPr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en-CA"/>
              </w:rPr>
            </w:pPr>
            <w:r w:rsidRPr="0061213B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en-CA"/>
              </w:rPr>
              <w:t xml:space="preserve">Satisfies eligibility requirements </w:t>
            </w:r>
          </w:p>
        </w:tc>
        <w:tc>
          <w:tcPr>
            <w:tcW w:w="2337" w:type="dxa"/>
          </w:tcPr>
          <w:p w14:paraId="6522266C" w14:textId="77777777" w:rsidR="00DB311C" w:rsidRDefault="00DB311C" w:rsidP="00DE1EC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A28F3B2" w14:textId="77777777" w:rsidR="00DB311C" w:rsidRDefault="00DB311C" w:rsidP="00DE1EC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019D42C" w14:textId="77777777" w:rsidR="00DB311C" w:rsidRDefault="00DB311C" w:rsidP="00DE1EC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A08F0" w14:paraId="70621C9E" w14:textId="77777777" w:rsidTr="00DE1EC6">
        <w:tc>
          <w:tcPr>
            <w:tcW w:w="2337" w:type="dxa"/>
          </w:tcPr>
          <w:p w14:paraId="39AE5611" w14:textId="46CD3356" w:rsidR="006A08F0" w:rsidRPr="00DB311C" w:rsidRDefault="0061213B" w:rsidP="00DE1EC6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Knowledge dissemination plan</w:t>
            </w:r>
            <w:r w:rsidR="00DB311C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bCs/>
                <w:color w:val="000000" w:themeColor="text1"/>
                <w:sz w:val="24"/>
                <w:szCs w:val="24"/>
              </w:rPr>
              <w:t>there is a plan in place to share the results of the project, and the partner is engaged in this plan</w:t>
            </w:r>
          </w:p>
        </w:tc>
        <w:tc>
          <w:tcPr>
            <w:tcW w:w="2337" w:type="dxa"/>
          </w:tcPr>
          <w:p w14:paraId="70289CF8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611ACB48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5BF5664A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A08F0" w14:paraId="42DA83E9" w14:textId="77777777" w:rsidTr="00DE1EC6">
        <w:tc>
          <w:tcPr>
            <w:tcW w:w="2337" w:type="dxa"/>
          </w:tcPr>
          <w:p w14:paraId="7EF0BD46" w14:textId="348FDAFD" w:rsidR="006A08F0" w:rsidRPr="003F508C" w:rsidRDefault="0061213B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1213B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en-CA"/>
              </w:rPr>
              <w:t>Outcomes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CA"/>
              </w:rPr>
              <w:t xml:space="preserve"> - this</w:t>
            </w:r>
            <w:r w:rsidR="00DB311C"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CA"/>
              </w:rPr>
              <w:t xml:space="preserve"> funding will enable relevant outcomes that enhance the impact of the project</w:t>
            </w:r>
          </w:p>
        </w:tc>
        <w:tc>
          <w:tcPr>
            <w:tcW w:w="2337" w:type="dxa"/>
          </w:tcPr>
          <w:p w14:paraId="749A2B93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59869E10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1C6AA8CD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A08F0" w14:paraId="6DFF6C0B" w14:textId="77777777" w:rsidTr="00DE1EC6">
        <w:tc>
          <w:tcPr>
            <w:tcW w:w="2337" w:type="dxa"/>
          </w:tcPr>
          <w:p w14:paraId="54034767" w14:textId="52A75760" w:rsidR="006A08F0" w:rsidRPr="003F508C" w:rsidRDefault="00DB311C" w:rsidP="00DE1EC6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CA"/>
              </w:rPr>
            </w:pPr>
            <w:r w:rsidRPr="00DB311C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lang w:eastAsia="en-CA"/>
              </w:rPr>
              <w:t>Relevance to the partner</w:t>
            </w:r>
            <w:r>
              <w:rPr>
                <w:rFonts w:ascii="Calibri" w:eastAsia="Times New Roman" w:hAnsi="Calibri" w:cs="Calibri"/>
                <w:color w:val="212121"/>
                <w:sz w:val="24"/>
                <w:szCs w:val="24"/>
                <w:lang w:eastAsia="en-CA"/>
              </w:rPr>
              <w:t xml:space="preserve"> – The project has to potential to improve the partner’s services or products.</w:t>
            </w:r>
          </w:p>
        </w:tc>
        <w:tc>
          <w:tcPr>
            <w:tcW w:w="2337" w:type="dxa"/>
          </w:tcPr>
          <w:p w14:paraId="1CD71861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02CF128A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5D06EEAE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A08F0" w14:paraId="33C29130" w14:textId="77777777" w:rsidTr="00DE1EC6">
        <w:tc>
          <w:tcPr>
            <w:tcW w:w="2337" w:type="dxa"/>
          </w:tcPr>
          <w:p w14:paraId="7AE0C2E0" w14:textId="1A05FEDB" w:rsidR="006A08F0" w:rsidRPr="00DB311C" w:rsidRDefault="00DB311C" w:rsidP="00DE1EC6">
            <w:r>
              <w:rPr>
                <w:b/>
              </w:rPr>
              <w:t xml:space="preserve">Ability to Execute </w:t>
            </w:r>
            <w:r>
              <w:t>– Sufficient evidence is presented that the PI, research team, and partners have ability, skill, and resources to complete the project.</w:t>
            </w:r>
          </w:p>
        </w:tc>
        <w:tc>
          <w:tcPr>
            <w:tcW w:w="2337" w:type="dxa"/>
          </w:tcPr>
          <w:p w14:paraId="1BA10656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0B7CC792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4D00D39A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A08F0" w14:paraId="4434C394" w14:textId="77777777" w:rsidTr="00DE1EC6">
        <w:tc>
          <w:tcPr>
            <w:tcW w:w="2337" w:type="dxa"/>
          </w:tcPr>
          <w:p w14:paraId="4A48BAE6" w14:textId="4A2E8C2F" w:rsidR="006A08F0" w:rsidRPr="003F508C" w:rsidRDefault="00DB311C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</w:rPr>
              <w:t>Student Participation</w:t>
            </w:r>
            <w:r>
              <w:t xml:space="preserve"> – The student is offered a valuable, experiential learning opportunity.</w:t>
            </w:r>
          </w:p>
        </w:tc>
        <w:tc>
          <w:tcPr>
            <w:tcW w:w="2337" w:type="dxa"/>
          </w:tcPr>
          <w:p w14:paraId="6336E8F0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4C9321CB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43844415" w14:textId="77777777" w:rsidR="006A08F0" w:rsidRPr="003F508C" w:rsidRDefault="006A08F0" w:rsidP="00DE1EC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373FD876" w14:textId="77777777" w:rsidR="006A08F0" w:rsidRPr="005B491C" w:rsidRDefault="006A08F0" w:rsidP="006A08F0">
      <w:pPr>
        <w:rPr>
          <w:b/>
          <w:color w:val="000000" w:themeColor="text1"/>
          <w:sz w:val="28"/>
          <w:szCs w:val="28"/>
          <w:u w:val="single"/>
        </w:rPr>
      </w:pPr>
    </w:p>
    <w:p w14:paraId="65BD8976" w14:textId="2E1A1DE2" w:rsidR="00E34DE7" w:rsidRDefault="00E34DE7" w:rsidP="006A08F0"/>
    <w:sectPr w:rsidR="00E34DE7" w:rsidSect="00E34DE7">
      <w:headerReference w:type="default" r:id="rId13"/>
      <w:footerReference w:type="default" r:id="rId14"/>
      <w:pgSz w:w="12240" w:h="15840"/>
      <w:pgMar w:top="1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03F9" w14:textId="77777777" w:rsidR="00E153DC" w:rsidRDefault="00E153DC" w:rsidP="00E34DE7">
      <w:pPr>
        <w:spacing w:after="0" w:line="240" w:lineRule="auto"/>
      </w:pPr>
      <w:r>
        <w:separator/>
      </w:r>
    </w:p>
  </w:endnote>
  <w:endnote w:type="continuationSeparator" w:id="0">
    <w:p w14:paraId="17EE8CE9" w14:textId="77777777" w:rsidR="00E153DC" w:rsidRDefault="00E153DC" w:rsidP="00E3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2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E712C" w14:textId="77777777" w:rsidR="00E34DE7" w:rsidRDefault="00E34DE7" w:rsidP="00E34DE7">
        <w:pPr>
          <w:pStyle w:val="Footer"/>
          <w:pBdr>
            <w:bottom w:val="single" w:sz="6" w:space="1" w:color="auto"/>
          </w:pBdr>
          <w:jc w:val="right"/>
        </w:pPr>
      </w:p>
      <w:p w14:paraId="10A7DABD" w14:textId="29E5F55A" w:rsidR="00E34DE7" w:rsidRDefault="00E34DE7" w:rsidP="00E34DE7">
        <w:pPr>
          <w:pStyle w:val="Footer"/>
          <w:jc w:val="right"/>
        </w:pPr>
        <w:r>
          <w:t>V</w:t>
        </w:r>
        <w:r w:rsidR="00DF7DF4">
          <w:t>2</w:t>
        </w:r>
        <w:r>
          <w:t xml:space="preserve"> – </w:t>
        </w:r>
        <w:r w:rsidR="00DF7DF4">
          <w:t>26</w:t>
        </w:r>
        <w:r>
          <w:t xml:space="preserve"> October 2020</w:t>
        </w:r>
        <w:r>
          <w:tab/>
          <w:t>CONFIDENTIAL WHEN COMPLETED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EA90" w14:textId="77777777" w:rsidR="00E153DC" w:rsidRDefault="00E153DC" w:rsidP="00E34DE7">
      <w:pPr>
        <w:spacing w:after="0" w:line="240" w:lineRule="auto"/>
      </w:pPr>
      <w:r>
        <w:separator/>
      </w:r>
    </w:p>
  </w:footnote>
  <w:footnote w:type="continuationSeparator" w:id="0">
    <w:p w14:paraId="4022AFE2" w14:textId="77777777" w:rsidR="00E153DC" w:rsidRDefault="00E153DC" w:rsidP="00E3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2533" w14:textId="1CEF8C01" w:rsidR="00E34DE7" w:rsidRDefault="00E34DE7">
    <w:pPr>
      <w:pStyle w:val="Header"/>
    </w:pPr>
    <w:r>
      <w:rPr>
        <w:noProof/>
      </w:rPr>
      <w:drawing>
        <wp:inline distT="0" distB="0" distL="0" distR="0" wp14:anchorId="2CDABDDC" wp14:editId="0F9221D1">
          <wp:extent cx="3556574" cy="7264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13" b="36977"/>
                  <a:stretch/>
                </pic:blipFill>
                <pic:spPr bwMode="auto">
                  <a:xfrm>
                    <a:off x="0" y="0"/>
                    <a:ext cx="3576159" cy="730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95"/>
    <w:multiLevelType w:val="hybridMultilevel"/>
    <w:tmpl w:val="9462D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5668"/>
    <w:multiLevelType w:val="hybridMultilevel"/>
    <w:tmpl w:val="5882C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66"/>
    <w:rsid w:val="000D0A42"/>
    <w:rsid w:val="001914FC"/>
    <w:rsid w:val="001C7E2B"/>
    <w:rsid w:val="004029F4"/>
    <w:rsid w:val="0061213B"/>
    <w:rsid w:val="006512D7"/>
    <w:rsid w:val="006A08F0"/>
    <w:rsid w:val="00752C66"/>
    <w:rsid w:val="0080668A"/>
    <w:rsid w:val="008645F3"/>
    <w:rsid w:val="008E0251"/>
    <w:rsid w:val="00931F77"/>
    <w:rsid w:val="009E45B7"/>
    <w:rsid w:val="00DB311C"/>
    <w:rsid w:val="00DF7DF4"/>
    <w:rsid w:val="00E153DC"/>
    <w:rsid w:val="00E34DE7"/>
    <w:rsid w:val="00E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3A414"/>
  <w15:chartTrackingRefBased/>
  <w15:docId w15:val="{B0A9B1B8-7AA0-48A7-9B29-126082A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91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E7"/>
  </w:style>
  <w:style w:type="paragraph" w:styleId="Footer">
    <w:name w:val="footer"/>
    <w:basedOn w:val="Normal"/>
    <w:link w:val="FooterChar"/>
    <w:uiPriority w:val="99"/>
    <w:unhideWhenUsed/>
    <w:rsid w:val="00E3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E7"/>
  </w:style>
  <w:style w:type="table" w:styleId="TableGrid">
    <w:name w:val="Table Grid"/>
    <w:basedOn w:val="TableNormal"/>
    <w:uiPriority w:val="39"/>
    <w:rsid w:val="006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8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if.ca/nbif-mitacs-accelerate-internship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bif.ca/wp-content/uploads/2020/03/NBIF-Research-Award-Administration-Guidelines-1.pdf" TargetMode="External"/><Relationship Id="rId12" Type="http://schemas.openxmlformats.org/officeDocument/2006/relationships/hyperlink" Target="https://www.mitacs.ca/en/programs/accelerate/propos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bif.ca/nbif-mitacs-accelerate-internship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bif.ca/wp-content/uploads/2020/03/NBIF-Research-Award-Administration-Guideline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services@nbif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Richard</dc:creator>
  <cp:keywords/>
  <dc:description/>
  <cp:lastModifiedBy>Angela Pyne</cp:lastModifiedBy>
  <cp:revision>3</cp:revision>
  <dcterms:created xsi:type="dcterms:W3CDTF">2020-10-26T16:41:00Z</dcterms:created>
  <dcterms:modified xsi:type="dcterms:W3CDTF">2020-11-13T16:19:00Z</dcterms:modified>
</cp:coreProperties>
</file>